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Ind w:w="108" w:type="dxa"/>
        <w:tblLayout w:type="fixed"/>
        <w:tblLook w:val="04A0" w:firstRow="1" w:lastRow="0" w:firstColumn="1" w:lastColumn="0" w:noHBand="0" w:noVBand="1"/>
      </w:tblPr>
      <w:tblGrid>
        <w:gridCol w:w="3305"/>
        <w:gridCol w:w="5875"/>
      </w:tblGrid>
      <w:tr w:rsidR="00470BF8" w:rsidRPr="00A654FD" w:rsidTr="00E41918">
        <w:trPr>
          <w:trHeight w:val="1134"/>
        </w:trPr>
        <w:tc>
          <w:tcPr>
            <w:tcW w:w="3305" w:type="dxa"/>
            <w:shd w:val="clear" w:color="auto" w:fill="auto"/>
          </w:tcPr>
          <w:p w:rsidR="00470BF8" w:rsidRPr="00F9289B" w:rsidRDefault="00470BF8" w:rsidP="00E41918">
            <w:pPr>
              <w:pStyle w:val="NormalWeb"/>
              <w:spacing w:before="0" w:beforeAutospacing="0" w:after="0" w:afterAutospacing="0"/>
              <w:jc w:val="center"/>
              <w:rPr>
                <w:b/>
                <w:bCs/>
                <w:sz w:val="28"/>
                <w:szCs w:val="26"/>
                <w:lang w:val="nl-NL"/>
              </w:rPr>
            </w:pPr>
            <w:r>
              <w:rPr>
                <w:sz w:val="28"/>
                <w:szCs w:val="28"/>
                <w:lang w:val="nl-NL"/>
              </w:rPr>
              <w:br w:type="page"/>
            </w:r>
            <w:r w:rsidRPr="00F9289B">
              <w:rPr>
                <w:b/>
                <w:bCs/>
                <w:sz w:val="28"/>
                <w:szCs w:val="26"/>
                <w:lang w:val="nl-NL"/>
              </w:rPr>
              <w:t>BỘ QUỐC PHÒNG</w:t>
            </w:r>
          </w:p>
          <w:p w:rsidR="00470BF8" w:rsidRPr="00F9289B" w:rsidRDefault="00470BF8" w:rsidP="00E41918">
            <w:pPr>
              <w:pStyle w:val="NormalWeb"/>
              <w:spacing w:before="0" w:beforeAutospacing="0" w:after="0" w:afterAutospacing="0" w:line="120" w:lineRule="auto"/>
              <w:jc w:val="center"/>
              <w:rPr>
                <w:bCs/>
                <w:sz w:val="26"/>
                <w:szCs w:val="26"/>
                <w:lang w:val="nl-NL"/>
              </w:rPr>
            </w:pPr>
            <w:r w:rsidRPr="00F9289B">
              <w:rPr>
                <w:bCs/>
                <w:sz w:val="26"/>
                <w:szCs w:val="26"/>
                <w:lang w:val="nl-NL"/>
              </w:rPr>
              <w:t xml:space="preserve"> </w:t>
            </w:r>
          </w:p>
          <w:p w:rsidR="00470BF8" w:rsidRPr="00F9289B" w:rsidRDefault="00470BF8" w:rsidP="00E41918">
            <w:pPr>
              <w:pStyle w:val="NormalWeb"/>
              <w:spacing w:before="0" w:beforeAutospacing="0" w:after="0" w:afterAutospacing="0"/>
              <w:jc w:val="center"/>
              <w:rPr>
                <w:bCs/>
                <w:sz w:val="26"/>
                <w:szCs w:val="26"/>
                <w:lang w:val="nl-NL"/>
              </w:rPr>
            </w:pPr>
            <w:r>
              <w:rPr>
                <w:bCs/>
                <w:noProof/>
                <w:sz w:val="26"/>
                <w:szCs w:val="26"/>
              </w:rPr>
              <mc:AlternateContent>
                <mc:Choice Requires="wps">
                  <w:drawing>
                    <wp:anchor distT="0" distB="0" distL="114300" distR="114300" simplePos="0" relativeHeight="251660288" behindDoc="0" locked="0" layoutInCell="1" allowOverlap="1" wp14:anchorId="6C27B068" wp14:editId="49A788D5">
                      <wp:simplePos x="0" y="0"/>
                      <wp:positionH relativeFrom="column">
                        <wp:posOffset>547370</wp:posOffset>
                      </wp:positionH>
                      <wp:positionV relativeFrom="paragraph">
                        <wp:posOffset>5715</wp:posOffset>
                      </wp:positionV>
                      <wp:extent cx="800100" cy="0"/>
                      <wp:effectExtent l="10160" t="13335" r="889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7B20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pt,.45pt" to="10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"/>
                  </w:pict>
                </mc:Fallback>
              </mc:AlternateContent>
            </w:r>
          </w:p>
          <w:p w:rsidR="00470BF8" w:rsidRPr="00F9289B" w:rsidRDefault="00470BF8" w:rsidP="00E41918">
            <w:pPr>
              <w:pStyle w:val="NormalWeb"/>
              <w:spacing w:before="120" w:beforeAutospacing="0" w:after="0" w:afterAutospacing="0"/>
              <w:jc w:val="center"/>
              <w:rPr>
                <w:b/>
                <w:bCs/>
                <w:sz w:val="26"/>
                <w:szCs w:val="26"/>
                <w:lang w:val="nl-NL"/>
              </w:rPr>
            </w:pPr>
            <w:r w:rsidRPr="00F9289B">
              <w:rPr>
                <w:bCs/>
                <w:sz w:val="26"/>
                <w:szCs w:val="26"/>
                <w:lang w:val="nl-NL"/>
              </w:rPr>
              <w:t xml:space="preserve">Số: </w:t>
            </w:r>
            <w:r w:rsidRPr="00F9289B">
              <w:rPr>
                <w:b/>
                <w:bCs/>
                <w:sz w:val="26"/>
                <w:szCs w:val="26"/>
                <w:lang w:val="nl-NL"/>
              </w:rPr>
              <w:t>4833</w:t>
            </w:r>
            <w:r w:rsidRPr="00F9289B">
              <w:rPr>
                <w:bCs/>
                <w:sz w:val="26"/>
                <w:szCs w:val="26"/>
                <w:lang w:val="nl-NL"/>
              </w:rPr>
              <w:t>/QĐ-BQP</w:t>
            </w:r>
          </w:p>
        </w:tc>
        <w:tc>
          <w:tcPr>
            <w:tcW w:w="5875" w:type="dxa"/>
            <w:shd w:val="clear" w:color="auto" w:fill="auto"/>
          </w:tcPr>
          <w:p w:rsidR="00470BF8" w:rsidRPr="00F9289B" w:rsidRDefault="00470BF8" w:rsidP="00E41918">
            <w:pPr>
              <w:pStyle w:val="NormalWeb"/>
              <w:spacing w:before="0" w:beforeAutospacing="0" w:after="0" w:afterAutospacing="0"/>
              <w:jc w:val="center"/>
              <w:rPr>
                <w:rFonts w:ascii="Times New Roman Bold" w:hAnsi="Times New Roman Bold"/>
                <w:b/>
                <w:bCs/>
                <w:sz w:val="26"/>
                <w:szCs w:val="26"/>
                <w:lang w:val="nl-NL"/>
              </w:rPr>
            </w:pPr>
            <w:r w:rsidRPr="00F9289B">
              <w:rPr>
                <w:rFonts w:ascii="Times New Roman Bold" w:hAnsi="Times New Roman Bold"/>
                <w:b/>
                <w:bCs/>
                <w:sz w:val="26"/>
                <w:szCs w:val="26"/>
                <w:lang w:val="nl-NL"/>
              </w:rPr>
              <w:t>CỘNG HÒA XÃ HỘI CHỦ NGHĨA VIỆT NAM</w:t>
            </w:r>
          </w:p>
          <w:p w:rsidR="00470BF8" w:rsidRPr="007D2026" w:rsidRDefault="00470BF8" w:rsidP="00E41918">
            <w:pPr>
              <w:pStyle w:val="NormalWeb"/>
              <w:spacing w:before="0" w:beforeAutospacing="0" w:after="0" w:afterAutospacing="0"/>
              <w:jc w:val="center"/>
              <w:rPr>
                <w:b/>
                <w:bCs/>
                <w:sz w:val="26"/>
                <w:szCs w:val="26"/>
              </w:rPr>
            </w:pPr>
            <w:r w:rsidRPr="007D2026">
              <w:rPr>
                <w:b/>
                <w:bCs/>
                <w:sz w:val="26"/>
                <w:szCs w:val="26"/>
              </w:rPr>
              <w:t>Độc lập - Tự do - Hạnh phúc</w:t>
            </w:r>
          </w:p>
          <w:p w:rsidR="00470BF8" w:rsidRPr="009455F3" w:rsidRDefault="00470BF8" w:rsidP="00E41918">
            <w:pPr>
              <w:pStyle w:val="NormalWeb"/>
              <w:spacing w:before="0" w:beforeAutospacing="0" w:after="0" w:afterAutospacing="0" w:line="120" w:lineRule="auto"/>
              <w:jc w:val="center"/>
              <w:rPr>
                <w:bCs/>
                <w:sz w:val="26"/>
                <w:szCs w:val="26"/>
                <w:vertAlign w:val="superscript"/>
              </w:rPr>
            </w:pPr>
            <w:r>
              <w:rPr>
                <w:rFonts w:ascii="Times New Roman Bold" w:hAnsi="Times New Roman Bold"/>
                <w:b/>
                <w:bCs/>
                <w:noProof/>
                <w:sz w:val="26"/>
                <w:szCs w:val="26"/>
              </w:rPr>
              <mc:AlternateContent>
                <mc:Choice Requires="wps">
                  <w:drawing>
                    <wp:anchor distT="0" distB="0" distL="114300" distR="114300" simplePos="0" relativeHeight="251659264" behindDoc="0" locked="0" layoutInCell="1" allowOverlap="1" wp14:anchorId="3B392161" wp14:editId="19C26374">
                      <wp:simplePos x="0" y="0"/>
                      <wp:positionH relativeFrom="column">
                        <wp:posOffset>807085</wp:posOffset>
                      </wp:positionH>
                      <wp:positionV relativeFrom="paragraph">
                        <wp:posOffset>17780</wp:posOffset>
                      </wp:positionV>
                      <wp:extent cx="1986915" cy="0"/>
                      <wp:effectExtent l="6350" t="10795" r="698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DC62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1.4pt" to="22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66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tpjPFt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"/>
                  </w:pict>
                </mc:Fallback>
              </mc:AlternateContent>
            </w:r>
            <w:r>
              <w:rPr>
                <w:bCs/>
                <w:sz w:val="26"/>
                <w:szCs w:val="26"/>
                <w:vertAlign w:val="superscript"/>
              </w:rPr>
              <w:t xml:space="preserve"> </w:t>
            </w:r>
          </w:p>
          <w:p w:rsidR="00470BF8" w:rsidRPr="00C421A5" w:rsidRDefault="00470BF8" w:rsidP="00E41918">
            <w:pPr>
              <w:pStyle w:val="NormalWeb"/>
              <w:spacing w:before="120" w:beforeAutospacing="0" w:after="0" w:afterAutospacing="0"/>
              <w:jc w:val="center"/>
              <w:rPr>
                <w:b/>
                <w:bCs/>
                <w:sz w:val="26"/>
                <w:szCs w:val="26"/>
              </w:rPr>
            </w:pPr>
            <w:r w:rsidRPr="00C421A5">
              <w:rPr>
                <w:bCs/>
                <w:i/>
                <w:sz w:val="26"/>
                <w:szCs w:val="26"/>
              </w:rPr>
              <w:t>Hà Nội, ngày</w:t>
            </w:r>
            <w:r>
              <w:rPr>
                <w:bCs/>
                <w:i/>
                <w:sz w:val="26"/>
                <w:szCs w:val="26"/>
              </w:rPr>
              <w:t xml:space="preserve"> 07 </w:t>
            </w:r>
            <w:r w:rsidRPr="00C421A5">
              <w:rPr>
                <w:bCs/>
                <w:i/>
                <w:sz w:val="26"/>
                <w:szCs w:val="26"/>
              </w:rPr>
              <w:t>tháng</w:t>
            </w:r>
            <w:r>
              <w:rPr>
                <w:bCs/>
                <w:i/>
                <w:sz w:val="26"/>
                <w:szCs w:val="26"/>
              </w:rPr>
              <w:t xml:space="preserve"> 12 </w:t>
            </w:r>
            <w:r w:rsidRPr="00C421A5">
              <w:rPr>
                <w:bCs/>
                <w:i/>
                <w:sz w:val="26"/>
                <w:szCs w:val="26"/>
              </w:rPr>
              <w:t>năm 2013</w:t>
            </w:r>
          </w:p>
        </w:tc>
      </w:tr>
    </w:tbl>
    <w:p w:rsidR="00470BF8" w:rsidRPr="008A53D7" w:rsidRDefault="00470BF8" w:rsidP="00470BF8">
      <w:pPr>
        <w:pStyle w:val="NormalWeb"/>
        <w:spacing w:before="0" w:beforeAutospacing="0" w:after="0" w:afterAutospacing="0"/>
        <w:rPr>
          <w:sz w:val="14"/>
          <w:szCs w:val="28"/>
        </w:rPr>
      </w:pPr>
    </w:p>
    <w:p w:rsidR="00470BF8" w:rsidRDefault="00470BF8" w:rsidP="00470BF8">
      <w:pPr>
        <w:spacing w:before="60" w:after="60"/>
        <w:jc w:val="center"/>
        <w:rPr>
          <w:b/>
          <w:bCs/>
          <w:sz w:val="10"/>
          <w:szCs w:val="28"/>
        </w:rPr>
      </w:pPr>
    </w:p>
    <w:p w:rsidR="00470BF8" w:rsidRPr="00407C68" w:rsidRDefault="00470BF8" w:rsidP="00470BF8">
      <w:pPr>
        <w:spacing w:before="60" w:after="60"/>
        <w:jc w:val="center"/>
        <w:rPr>
          <w:b/>
          <w:bCs/>
          <w:sz w:val="22"/>
          <w:szCs w:val="28"/>
        </w:rPr>
      </w:pPr>
    </w:p>
    <w:p w:rsidR="00470BF8" w:rsidRPr="008A53D7" w:rsidRDefault="00470BF8" w:rsidP="00470BF8">
      <w:pPr>
        <w:spacing w:before="60" w:after="60"/>
        <w:jc w:val="center"/>
        <w:rPr>
          <w:b/>
          <w:bCs/>
          <w:sz w:val="10"/>
          <w:szCs w:val="28"/>
        </w:rPr>
      </w:pPr>
    </w:p>
    <w:p w:rsidR="00470BF8" w:rsidRPr="004D3AFA" w:rsidRDefault="00470BF8" w:rsidP="00470BF8">
      <w:pPr>
        <w:spacing w:after="0" w:line="240" w:lineRule="auto"/>
        <w:jc w:val="center"/>
        <w:rPr>
          <w:b/>
          <w:sz w:val="28"/>
          <w:szCs w:val="28"/>
        </w:rPr>
      </w:pPr>
      <w:r w:rsidRPr="004D3AFA">
        <w:rPr>
          <w:b/>
          <w:bCs/>
          <w:sz w:val="28"/>
          <w:szCs w:val="28"/>
        </w:rPr>
        <w:t>QUYẾT ĐỊNH</w:t>
      </w:r>
    </w:p>
    <w:p w:rsidR="00470BF8" w:rsidRDefault="00470BF8" w:rsidP="00470BF8">
      <w:pPr>
        <w:pStyle w:val="NormalWeb"/>
        <w:spacing w:before="0" w:beforeAutospacing="0" w:after="0" w:afterAutospacing="0"/>
        <w:jc w:val="center"/>
        <w:rPr>
          <w:rFonts w:ascii="Times New Roman Bold" w:hAnsi="Times New Roman Bold"/>
          <w:b/>
          <w:sz w:val="28"/>
          <w:szCs w:val="28"/>
        </w:rPr>
      </w:pPr>
      <w:r w:rsidRPr="00582A02">
        <w:rPr>
          <w:rFonts w:ascii="Times New Roman Bold" w:hAnsi="Times New Roman Bold"/>
          <w:b/>
          <w:sz w:val="28"/>
          <w:szCs w:val="28"/>
        </w:rPr>
        <w:t>Thành lập Văn phòng Ban Chỉ đạo quốc gia</w:t>
      </w:r>
    </w:p>
    <w:p w:rsidR="00470BF8" w:rsidRPr="00582A02" w:rsidRDefault="00470BF8" w:rsidP="00470BF8">
      <w:pPr>
        <w:pStyle w:val="NormalWeb"/>
        <w:spacing w:before="0" w:beforeAutospacing="0" w:after="0" w:afterAutospacing="0"/>
        <w:jc w:val="center"/>
        <w:rPr>
          <w:rFonts w:ascii="Times New Roman Bold" w:hAnsi="Times New Roman Bold"/>
          <w:b/>
          <w:sz w:val="28"/>
          <w:szCs w:val="28"/>
        </w:rPr>
      </w:pPr>
      <w:r w:rsidRPr="00582A02">
        <w:rPr>
          <w:rFonts w:ascii="Times New Roman Bold" w:hAnsi="Times New Roman Bold"/>
          <w:b/>
          <w:sz w:val="28"/>
          <w:szCs w:val="28"/>
        </w:rPr>
        <w:t xml:space="preserve"> </w:t>
      </w:r>
      <w:proofErr w:type="gramStart"/>
      <w:r w:rsidRPr="00582A02">
        <w:rPr>
          <w:rFonts w:ascii="Times New Roman Bold" w:hAnsi="Times New Roman Bold"/>
          <w:b/>
          <w:sz w:val="28"/>
          <w:szCs w:val="28"/>
        </w:rPr>
        <w:t>về</w:t>
      </w:r>
      <w:proofErr w:type="gramEnd"/>
      <w:r w:rsidRPr="00582A02">
        <w:rPr>
          <w:rFonts w:ascii="Times New Roman Bold" w:hAnsi="Times New Roman Bold"/>
          <w:b/>
          <w:sz w:val="28"/>
          <w:szCs w:val="28"/>
        </w:rPr>
        <w:t xml:space="preserve"> tìm kiếm, quy tập hài cốt liệt sĩ</w:t>
      </w:r>
    </w:p>
    <w:p w:rsidR="00470BF8" w:rsidRPr="006F638F" w:rsidRDefault="00470BF8" w:rsidP="00470BF8">
      <w:pPr>
        <w:pStyle w:val="NormalWeb"/>
        <w:spacing w:before="0" w:beforeAutospacing="0" w:after="0" w:afterAutospacing="0" w:line="120" w:lineRule="auto"/>
        <w:jc w:val="center"/>
        <w:rPr>
          <w:sz w:val="28"/>
          <w:szCs w:val="28"/>
        </w:rPr>
      </w:pPr>
      <w:r>
        <w:rPr>
          <w:sz w:val="28"/>
          <w:szCs w:val="28"/>
        </w:rPr>
        <w:t>–––––––––––</w:t>
      </w:r>
    </w:p>
    <w:p w:rsidR="00470BF8" w:rsidRPr="008A53D7" w:rsidRDefault="00470BF8" w:rsidP="00470BF8">
      <w:pPr>
        <w:pStyle w:val="NormalWeb"/>
        <w:spacing w:before="0" w:beforeAutospacing="0" w:after="0" w:afterAutospacing="0"/>
        <w:rPr>
          <w:sz w:val="8"/>
          <w:szCs w:val="28"/>
        </w:rPr>
      </w:pPr>
      <w:r w:rsidRPr="00B509F6">
        <w:rPr>
          <w:sz w:val="28"/>
          <w:szCs w:val="28"/>
        </w:rPr>
        <w:t xml:space="preserve"> </w:t>
      </w:r>
    </w:p>
    <w:p w:rsidR="00470BF8" w:rsidRPr="00407C68" w:rsidRDefault="00470BF8" w:rsidP="00470BF8">
      <w:pPr>
        <w:pStyle w:val="NormalWeb"/>
        <w:spacing w:before="0" w:beforeAutospacing="0" w:after="0" w:afterAutospacing="0"/>
        <w:rPr>
          <w:sz w:val="36"/>
          <w:szCs w:val="28"/>
        </w:rPr>
      </w:pPr>
    </w:p>
    <w:p w:rsidR="00470BF8" w:rsidRDefault="00470BF8" w:rsidP="00470BF8">
      <w:pPr>
        <w:pStyle w:val="NormalWeb"/>
        <w:spacing w:before="0" w:beforeAutospacing="0" w:after="0" w:afterAutospacing="0"/>
        <w:jc w:val="center"/>
        <w:rPr>
          <w:b/>
          <w:bCs/>
          <w:sz w:val="28"/>
          <w:szCs w:val="28"/>
        </w:rPr>
      </w:pPr>
      <w:r>
        <w:rPr>
          <w:b/>
          <w:bCs/>
          <w:sz w:val="28"/>
          <w:szCs w:val="28"/>
        </w:rPr>
        <w:t>BỘ TRƯỞNG BỘ QUỐC PHÒNG</w:t>
      </w:r>
    </w:p>
    <w:p w:rsidR="00470BF8" w:rsidRPr="00835D66" w:rsidRDefault="00470BF8" w:rsidP="00470BF8">
      <w:pPr>
        <w:pStyle w:val="NormalWeb"/>
        <w:spacing w:before="0" w:beforeAutospacing="0" w:after="0" w:afterAutospacing="0"/>
        <w:ind w:left="57" w:firstLine="510"/>
        <w:jc w:val="both"/>
        <w:rPr>
          <w:iCs/>
          <w:sz w:val="28"/>
          <w:szCs w:val="28"/>
        </w:rPr>
      </w:pPr>
    </w:p>
    <w:p w:rsidR="00470BF8" w:rsidRPr="00F24FCA" w:rsidRDefault="00470BF8" w:rsidP="00470BF8">
      <w:pPr>
        <w:spacing w:before="80" w:after="80" w:line="264" w:lineRule="auto"/>
        <w:ind w:firstLine="873"/>
        <w:jc w:val="both"/>
        <w:rPr>
          <w:sz w:val="28"/>
          <w:szCs w:val="28"/>
        </w:rPr>
      </w:pPr>
      <w:r w:rsidRPr="00F24FCA">
        <w:rPr>
          <w:sz w:val="28"/>
          <w:szCs w:val="28"/>
        </w:rPr>
        <w:t>C</w:t>
      </w:r>
      <w:r w:rsidRPr="00F24FCA">
        <w:rPr>
          <w:rFonts w:hint="eastAsia"/>
          <w:sz w:val="28"/>
          <w:szCs w:val="28"/>
        </w:rPr>
        <w:t>ă</w:t>
      </w:r>
      <w:r w:rsidRPr="00F24FCA">
        <w:rPr>
          <w:sz w:val="28"/>
          <w:szCs w:val="28"/>
        </w:rPr>
        <w:t xml:space="preserve">n cứ Nghị </w:t>
      </w:r>
      <w:r w:rsidRPr="00F24FCA">
        <w:rPr>
          <w:rFonts w:hint="eastAsia"/>
          <w:sz w:val="28"/>
          <w:szCs w:val="28"/>
        </w:rPr>
        <w:t>đ</w:t>
      </w:r>
      <w:r w:rsidRPr="00F24FCA">
        <w:rPr>
          <w:sz w:val="28"/>
          <w:szCs w:val="28"/>
        </w:rPr>
        <w:t>ịnh số 35/2013/N</w:t>
      </w:r>
      <w:r w:rsidRPr="00F24FCA">
        <w:rPr>
          <w:rFonts w:hint="eastAsia"/>
          <w:sz w:val="28"/>
          <w:szCs w:val="28"/>
        </w:rPr>
        <w:t>Đ</w:t>
      </w:r>
      <w:r w:rsidRPr="00F24FCA">
        <w:rPr>
          <w:sz w:val="28"/>
          <w:szCs w:val="28"/>
        </w:rPr>
        <w:t>-CP ngày 22 tháng 4 n</w:t>
      </w:r>
      <w:r w:rsidRPr="00F24FCA">
        <w:rPr>
          <w:rFonts w:hint="eastAsia"/>
          <w:sz w:val="28"/>
          <w:szCs w:val="28"/>
        </w:rPr>
        <w:t>ă</w:t>
      </w:r>
      <w:r w:rsidRPr="00F24FCA">
        <w:rPr>
          <w:sz w:val="28"/>
          <w:szCs w:val="28"/>
        </w:rPr>
        <w:t xml:space="preserve">m 2013 của Chính phủ quy </w:t>
      </w:r>
      <w:r w:rsidRPr="00F24FCA">
        <w:rPr>
          <w:rFonts w:hint="eastAsia"/>
          <w:sz w:val="28"/>
          <w:szCs w:val="28"/>
        </w:rPr>
        <w:t>đ</w:t>
      </w:r>
      <w:r w:rsidRPr="00F24FCA">
        <w:rPr>
          <w:sz w:val="28"/>
          <w:szCs w:val="28"/>
        </w:rPr>
        <w:t>ịnh chức năng, nhiệm vụ</w:t>
      </w:r>
      <w:r>
        <w:rPr>
          <w:sz w:val="28"/>
          <w:szCs w:val="28"/>
        </w:rPr>
        <w:t>,</w:t>
      </w:r>
      <w:r w:rsidRPr="00F24FCA">
        <w:rPr>
          <w:sz w:val="28"/>
          <w:szCs w:val="28"/>
        </w:rPr>
        <w:t xml:space="preserve"> quyền hạn và cơ cấu tổ chức của Bộ Quốc phòng;</w:t>
      </w:r>
    </w:p>
    <w:p w:rsidR="00470BF8" w:rsidRPr="00F24FCA" w:rsidRDefault="00470BF8" w:rsidP="00470BF8">
      <w:pPr>
        <w:spacing w:before="80" w:after="80" w:line="264" w:lineRule="auto"/>
        <w:ind w:firstLine="873"/>
        <w:jc w:val="both"/>
        <w:rPr>
          <w:sz w:val="28"/>
          <w:szCs w:val="28"/>
        </w:rPr>
      </w:pPr>
      <w:r w:rsidRPr="00F24FCA">
        <w:rPr>
          <w:sz w:val="28"/>
          <w:szCs w:val="28"/>
        </w:rPr>
        <w:t>C</w:t>
      </w:r>
      <w:r w:rsidRPr="00F24FCA">
        <w:rPr>
          <w:rFonts w:hint="eastAsia"/>
          <w:sz w:val="28"/>
          <w:szCs w:val="28"/>
        </w:rPr>
        <w:t>ă</w:t>
      </w:r>
      <w:r w:rsidRPr="00F24FCA">
        <w:rPr>
          <w:sz w:val="28"/>
          <w:szCs w:val="28"/>
        </w:rPr>
        <w:t xml:space="preserve">n cứ </w:t>
      </w:r>
      <w:r>
        <w:rPr>
          <w:sz w:val="28"/>
          <w:szCs w:val="28"/>
        </w:rPr>
        <w:t xml:space="preserve">Quyết định số 249/QĐ-BCĐQG1237 </w:t>
      </w:r>
      <w:r w:rsidRPr="00F24FCA">
        <w:rPr>
          <w:sz w:val="28"/>
          <w:szCs w:val="28"/>
        </w:rPr>
        <w:t xml:space="preserve">ngày </w:t>
      </w:r>
      <w:r>
        <w:rPr>
          <w:sz w:val="28"/>
          <w:szCs w:val="28"/>
        </w:rPr>
        <w:t>0</w:t>
      </w:r>
      <w:r w:rsidRPr="00F24FCA">
        <w:rPr>
          <w:sz w:val="28"/>
          <w:szCs w:val="28"/>
        </w:rPr>
        <w:t xml:space="preserve">7 tháng </w:t>
      </w:r>
      <w:r>
        <w:rPr>
          <w:sz w:val="28"/>
          <w:szCs w:val="28"/>
        </w:rPr>
        <w:t>11</w:t>
      </w:r>
      <w:r w:rsidRPr="00F24FCA">
        <w:rPr>
          <w:sz w:val="28"/>
          <w:szCs w:val="28"/>
        </w:rPr>
        <w:t xml:space="preserve"> năm 2013 của </w:t>
      </w:r>
      <w:r>
        <w:rPr>
          <w:sz w:val="28"/>
          <w:szCs w:val="28"/>
        </w:rPr>
        <w:t>Trưởng Ban Chỉ đạo quốc gia ban hành quy chế tổ chức và hoạt động của Ban Chỉ đạo quốc gia</w:t>
      </w:r>
      <w:r w:rsidRPr="00F24FCA">
        <w:rPr>
          <w:sz w:val="28"/>
          <w:szCs w:val="28"/>
        </w:rPr>
        <w:t xml:space="preserve"> về tìm kiếm, quy tập hài cốt liệt sĩ từ nay đến năm 2020 và những năm tiếp theo;</w:t>
      </w:r>
    </w:p>
    <w:p w:rsidR="00470BF8" w:rsidRDefault="00470BF8" w:rsidP="00470BF8">
      <w:pPr>
        <w:pStyle w:val="NormalWeb"/>
        <w:spacing w:before="80" w:beforeAutospacing="0" w:after="80" w:afterAutospacing="0" w:line="264" w:lineRule="auto"/>
        <w:ind w:firstLine="873"/>
        <w:jc w:val="both"/>
        <w:rPr>
          <w:iCs/>
          <w:sz w:val="28"/>
          <w:szCs w:val="28"/>
        </w:rPr>
      </w:pPr>
      <w:r w:rsidRPr="00D403D8">
        <w:rPr>
          <w:iCs/>
          <w:spacing w:val="-2"/>
          <w:sz w:val="28"/>
          <w:szCs w:val="28"/>
        </w:rPr>
        <w:t xml:space="preserve">Xét đề nghị của Chủ nhiệm Tổng cục Chính trị </w:t>
      </w:r>
      <w:r>
        <w:rPr>
          <w:iCs/>
          <w:spacing w:val="-2"/>
          <w:sz w:val="28"/>
          <w:szCs w:val="28"/>
        </w:rPr>
        <w:t>tại Tờ trình số 1998</w:t>
      </w:r>
      <w:r w:rsidRPr="00D403D8">
        <w:rPr>
          <w:iCs/>
          <w:spacing w:val="-2"/>
          <w:sz w:val="28"/>
          <w:szCs w:val="28"/>
        </w:rPr>
        <w:t>/TTr-CT</w:t>
      </w:r>
      <w:r>
        <w:rPr>
          <w:iCs/>
          <w:sz w:val="28"/>
          <w:szCs w:val="28"/>
        </w:rPr>
        <w:t xml:space="preserve"> ngày 02 tháng 12 năm 2013</w:t>
      </w:r>
      <w:r w:rsidRPr="002E6FB2">
        <w:rPr>
          <w:iCs/>
          <w:sz w:val="28"/>
          <w:szCs w:val="28"/>
        </w:rPr>
        <w:t>,</w:t>
      </w:r>
    </w:p>
    <w:p w:rsidR="00470BF8" w:rsidRPr="00407C68" w:rsidRDefault="00470BF8" w:rsidP="00470BF8">
      <w:pPr>
        <w:pStyle w:val="NormalWeb"/>
        <w:spacing w:before="80" w:beforeAutospacing="0" w:after="80" w:afterAutospacing="0" w:line="264" w:lineRule="auto"/>
        <w:ind w:firstLine="873"/>
        <w:jc w:val="both"/>
        <w:rPr>
          <w:iCs/>
          <w:sz w:val="10"/>
          <w:szCs w:val="28"/>
        </w:rPr>
      </w:pPr>
    </w:p>
    <w:p w:rsidR="00470BF8" w:rsidRPr="008A53D7" w:rsidRDefault="00470BF8" w:rsidP="00470BF8">
      <w:pPr>
        <w:pStyle w:val="NormalWeb"/>
        <w:spacing w:before="80" w:beforeAutospacing="0" w:after="80" w:afterAutospacing="0" w:line="264" w:lineRule="auto"/>
        <w:ind w:firstLine="873"/>
        <w:jc w:val="both"/>
        <w:rPr>
          <w:iCs/>
          <w:sz w:val="2"/>
          <w:szCs w:val="28"/>
        </w:rPr>
      </w:pPr>
    </w:p>
    <w:p w:rsidR="00470BF8" w:rsidRPr="00961111" w:rsidRDefault="00470BF8" w:rsidP="00470BF8">
      <w:pPr>
        <w:pStyle w:val="NormalWeb"/>
        <w:spacing w:before="80" w:beforeAutospacing="0" w:after="80" w:afterAutospacing="0" w:line="264" w:lineRule="auto"/>
        <w:jc w:val="center"/>
        <w:rPr>
          <w:b/>
          <w:bCs/>
          <w:sz w:val="28"/>
          <w:szCs w:val="28"/>
        </w:rPr>
      </w:pPr>
      <w:r w:rsidRPr="00961111">
        <w:rPr>
          <w:b/>
          <w:bCs/>
          <w:sz w:val="28"/>
          <w:szCs w:val="28"/>
        </w:rPr>
        <w:t>QUYẾT ĐỊNH:</w:t>
      </w:r>
    </w:p>
    <w:p w:rsidR="00470BF8" w:rsidRDefault="00470BF8" w:rsidP="00470BF8">
      <w:pPr>
        <w:pStyle w:val="NormalWeb"/>
        <w:spacing w:before="80" w:beforeAutospacing="0" w:after="80" w:afterAutospacing="0" w:line="264" w:lineRule="auto"/>
        <w:ind w:firstLine="871"/>
        <w:jc w:val="both"/>
        <w:rPr>
          <w:sz w:val="28"/>
          <w:szCs w:val="28"/>
        </w:rPr>
      </w:pPr>
      <w:r w:rsidRPr="00A73F16">
        <w:rPr>
          <w:b/>
          <w:bCs/>
          <w:sz w:val="28"/>
          <w:szCs w:val="28"/>
        </w:rPr>
        <w:t>Điều 1.</w:t>
      </w:r>
      <w:r w:rsidRPr="00A73F16">
        <w:rPr>
          <w:sz w:val="28"/>
          <w:szCs w:val="28"/>
        </w:rPr>
        <w:t xml:space="preserve"> </w:t>
      </w:r>
      <w:r>
        <w:rPr>
          <w:sz w:val="28"/>
          <w:szCs w:val="28"/>
        </w:rPr>
        <w:t xml:space="preserve">Thành lập </w:t>
      </w:r>
      <w:r w:rsidRPr="00A73F16">
        <w:rPr>
          <w:sz w:val="28"/>
          <w:szCs w:val="28"/>
        </w:rPr>
        <w:t>Văn phòng Ban Chỉ đạo quốc gia về tìm kiếm, quy tập hài cốt liệt sĩ</w:t>
      </w:r>
      <w:r w:rsidRPr="00A73F16">
        <w:rPr>
          <w:iCs/>
          <w:sz w:val="28"/>
          <w:szCs w:val="28"/>
        </w:rPr>
        <w:t xml:space="preserve"> </w:t>
      </w:r>
      <w:r w:rsidRPr="00A73F16">
        <w:rPr>
          <w:sz w:val="28"/>
          <w:szCs w:val="28"/>
        </w:rPr>
        <w:t>từ nay đến năm 2020 và những năm tiếp theo</w:t>
      </w:r>
      <w:r>
        <w:rPr>
          <w:sz w:val="28"/>
          <w:szCs w:val="28"/>
        </w:rPr>
        <w:t xml:space="preserve"> (gọi tắt là </w:t>
      </w:r>
      <w:r w:rsidRPr="004C29C6">
        <w:rPr>
          <w:spacing w:val="-4"/>
          <w:sz w:val="28"/>
          <w:szCs w:val="28"/>
        </w:rPr>
        <w:t xml:space="preserve">Văn phòng </w:t>
      </w:r>
      <w:r w:rsidRPr="004C29C6">
        <w:rPr>
          <w:iCs/>
          <w:spacing w:val="-4"/>
          <w:sz w:val="28"/>
          <w:szCs w:val="28"/>
        </w:rPr>
        <w:t>Ban Chỉ đạo quốc gia 1237</w:t>
      </w:r>
      <w:r>
        <w:rPr>
          <w:iCs/>
          <w:spacing w:val="-4"/>
          <w:sz w:val="28"/>
          <w:szCs w:val="28"/>
        </w:rPr>
        <w:t>)</w:t>
      </w:r>
      <w:r>
        <w:rPr>
          <w:sz w:val="28"/>
          <w:szCs w:val="28"/>
        </w:rPr>
        <w:t>. Tổng số 23 đồng chí, trong đó 21 đồng chí kiêm nhiệm và 02 đồng chí chuyên trách, gồm:</w:t>
      </w:r>
    </w:p>
    <w:p w:rsidR="00470BF8" w:rsidRDefault="00470BF8" w:rsidP="00470BF8">
      <w:pPr>
        <w:pStyle w:val="NormalWeb"/>
        <w:spacing w:before="80" w:beforeAutospacing="0" w:after="80" w:afterAutospacing="0" w:line="264" w:lineRule="auto"/>
        <w:ind w:firstLine="873"/>
        <w:jc w:val="both"/>
        <w:rPr>
          <w:sz w:val="28"/>
          <w:szCs w:val="28"/>
        </w:rPr>
      </w:pPr>
      <w:r>
        <w:rPr>
          <w:sz w:val="28"/>
          <w:szCs w:val="28"/>
        </w:rPr>
        <w:t xml:space="preserve">- Chánh Văn phòng Ban Chỉ đạo quốc gia là Cục trưởng Cục Chính </w:t>
      </w:r>
      <w:proofErr w:type="gramStart"/>
      <w:r>
        <w:rPr>
          <w:sz w:val="28"/>
          <w:szCs w:val="28"/>
        </w:rPr>
        <w:t>sách/Tổng</w:t>
      </w:r>
      <w:proofErr w:type="gramEnd"/>
      <w:r>
        <w:rPr>
          <w:sz w:val="28"/>
          <w:szCs w:val="28"/>
        </w:rPr>
        <w:t xml:space="preserve"> cục Chính trị.</w:t>
      </w:r>
    </w:p>
    <w:p w:rsidR="00470BF8" w:rsidRDefault="00470BF8" w:rsidP="00470BF8">
      <w:pPr>
        <w:pStyle w:val="NormalWeb"/>
        <w:spacing w:before="80" w:beforeAutospacing="0" w:after="80" w:afterAutospacing="0" w:line="264" w:lineRule="auto"/>
        <w:ind w:firstLine="873"/>
        <w:jc w:val="both"/>
        <w:rPr>
          <w:sz w:val="28"/>
          <w:szCs w:val="28"/>
        </w:rPr>
      </w:pPr>
      <w:r>
        <w:rPr>
          <w:sz w:val="28"/>
          <w:szCs w:val="28"/>
        </w:rPr>
        <w:t>- 02 Phó Chánh Văn phòng Ban Chỉ đạo quốc gia là 02 Phó Cục trưởng Cục Chính sách/Tổng cục Chính trị.</w:t>
      </w:r>
    </w:p>
    <w:p w:rsidR="00470BF8" w:rsidRDefault="00470BF8" w:rsidP="00470BF8">
      <w:pPr>
        <w:pStyle w:val="NormalWeb"/>
        <w:spacing w:before="80" w:beforeAutospacing="0" w:after="80" w:afterAutospacing="0" w:line="264" w:lineRule="auto"/>
        <w:ind w:firstLine="873"/>
        <w:jc w:val="both"/>
        <w:rPr>
          <w:sz w:val="28"/>
          <w:szCs w:val="28"/>
        </w:rPr>
      </w:pPr>
      <w:r>
        <w:rPr>
          <w:sz w:val="28"/>
          <w:szCs w:val="28"/>
        </w:rPr>
        <w:lastRenderedPageBreak/>
        <w:t>- 08 cán bộ kiêm nhiệm, 02 cán bộ chuyên trách của Phòng Thương binh, liệt sĩ - Người có công, Cục Chính sách/Tổng cục Chính trị và một số cán bộ kiêm nhiệm của các cơ quan có liên quan:</w:t>
      </w:r>
    </w:p>
    <w:p w:rsidR="00470BF8" w:rsidRPr="003A3CAB" w:rsidRDefault="00470BF8" w:rsidP="00470BF8">
      <w:pPr>
        <w:pStyle w:val="NormalWeb"/>
        <w:spacing w:before="80" w:beforeAutospacing="0" w:after="80" w:afterAutospacing="0" w:line="274" w:lineRule="auto"/>
        <w:ind w:firstLine="873"/>
        <w:jc w:val="both"/>
        <w:rPr>
          <w:spacing w:val="10"/>
          <w:sz w:val="28"/>
          <w:szCs w:val="28"/>
        </w:rPr>
      </w:pPr>
      <w:r>
        <w:rPr>
          <w:sz w:val="28"/>
          <w:szCs w:val="28"/>
        </w:rPr>
        <w:t xml:space="preserve">+ </w:t>
      </w:r>
      <w:r w:rsidRPr="003A3CAB">
        <w:rPr>
          <w:spacing w:val="10"/>
          <w:sz w:val="28"/>
          <w:szCs w:val="28"/>
        </w:rPr>
        <w:t>Trưởng phòng Nghiên cứu - Kế hoạch tổng hợp, Cục Chính sách/TCCT.</w:t>
      </w:r>
    </w:p>
    <w:p w:rsidR="00470BF8" w:rsidRDefault="00470BF8" w:rsidP="00470BF8">
      <w:pPr>
        <w:pStyle w:val="NormalWeb"/>
        <w:spacing w:before="140" w:beforeAutospacing="0" w:after="140" w:afterAutospacing="0" w:line="274" w:lineRule="auto"/>
        <w:ind w:firstLine="873"/>
        <w:jc w:val="both"/>
        <w:rPr>
          <w:sz w:val="28"/>
          <w:szCs w:val="28"/>
        </w:rPr>
      </w:pPr>
      <w:r>
        <w:rPr>
          <w:sz w:val="28"/>
          <w:szCs w:val="28"/>
        </w:rPr>
        <w:t>+ Trưởng phòng Hậu phương quân đội, Cục Chính sách/TCCT.</w:t>
      </w:r>
    </w:p>
    <w:p w:rsidR="00470BF8" w:rsidRDefault="00470BF8" w:rsidP="00470BF8">
      <w:pPr>
        <w:pStyle w:val="NormalWeb"/>
        <w:spacing w:before="140" w:beforeAutospacing="0" w:after="140" w:afterAutospacing="0" w:line="274" w:lineRule="auto"/>
        <w:ind w:firstLine="873"/>
        <w:jc w:val="both"/>
        <w:rPr>
          <w:sz w:val="28"/>
          <w:szCs w:val="28"/>
        </w:rPr>
      </w:pPr>
      <w:r>
        <w:rPr>
          <w:sz w:val="28"/>
          <w:szCs w:val="28"/>
        </w:rPr>
        <w:t>+ Trợ lý Tài chính/Cục Chính sách/TCCT.</w:t>
      </w:r>
    </w:p>
    <w:p w:rsidR="00470BF8" w:rsidRDefault="00470BF8" w:rsidP="00470BF8">
      <w:pPr>
        <w:pStyle w:val="NormalWeb"/>
        <w:spacing w:before="140" w:beforeAutospacing="0" w:after="140" w:afterAutospacing="0" w:line="274" w:lineRule="auto"/>
        <w:ind w:firstLine="873"/>
        <w:jc w:val="both"/>
        <w:rPr>
          <w:sz w:val="28"/>
          <w:szCs w:val="28"/>
        </w:rPr>
      </w:pPr>
      <w:r>
        <w:rPr>
          <w:sz w:val="28"/>
          <w:szCs w:val="28"/>
        </w:rPr>
        <w:t>+ 01 Cán bộ Cục Quân lực/BTTM.</w:t>
      </w:r>
    </w:p>
    <w:p w:rsidR="00470BF8" w:rsidRDefault="00470BF8" w:rsidP="00470BF8">
      <w:pPr>
        <w:pStyle w:val="NormalWeb"/>
        <w:spacing w:before="140" w:beforeAutospacing="0" w:after="140" w:afterAutospacing="0" w:line="274" w:lineRule="auto"/>
        <w:ind w:firstLine="873"/>
        <w:jc w:val="both"/>
        <w:rPr>
          <w:sz w:val="28"/>
          <w:szCs w:val="28"/>
        </w:rPr>
      </w:pPr>
      <w:r>
        <w:rPr>
          <w:sz w:val="28"/>
          <w:szCs w:val="28"/>
        </w:rPr>
        <w:t>+ 01 Cán bộ Cục Tài chính/BQP.</w:t>
      </w:r>
    </w:p>
    <w:p w:rsidR="00470BF8" w:rsidRDefault="00470BF8" w:rsidP="00470BF8">
      <w:pPr>
        <w:pStyle w:val="NormalWeb"/>
        <w:spacing w:before="140" w:beforeAutospacing="0" w:after="140" w:afterAutospacing="0" w:line="274" w:lineRule="auto"/>
        <w:ind w:firstLine="873"/>
        <w:jc w:val="both"/>
        <w:rPr>
          <w:sz w:val="28"/>
          <w:szCs w:val="28"/>
        </w:rPr>
      </w:pPr>
      <w:r>
        <w:rPr>
          <w:sz w:val="28"/>
          <w:szCs w:val="28"/>
        </w:rPr>
        <w:t>+ 01 Cán bộ Phòng Nghiên cứu tổng hợp/Văn phòng BQP.</w:t>
      </w:r>
    </w:p>
    <w:p w:rsidR="00470BF8" w:rsidRDefault="00470BF8" w:rsidP="00470BF8">
      <w:pPr>
        <w:pStyle w:val="NormalWeb"/>
        <w:spacing w:before="140" w:beforeAutospacing="0" w:after="140" w:afterAutospacing="0" w:line="274" w:lineRule="auto"/>
        <w:ind w:firstLine="873"/>
        <w:jc w:val="both"/>
        <w:rPr>
          <w:sz w:val="28"/>
          <w:szCs w:val="28"/>
        </w:rPr>
      </w:pPr>
      <w:r>
        <w:rPr>
          <w:sz w:val="28"/>
          <w:szCs w:val="28"/>
        </w:rPr>
        <w:t>+ 01 Cán bộ Phòng Kế hoạch tổng hợp/Văn phòng TCCT.</w:t>
      </w:r>
    </w:p>
    <w:p w:rsidR="00470BF8" w:rsidRDefault="00470BF8" w:rsidP="00470BF8">
      <w:pPr>
        <w:pStyle w:val="NormalWeb"/>
        <w:spacing w:before="140" w:beforeAutospacing="0" w:after="140" w:afterAutospacing="0" w:line="274" w:lineRule="auto"/>
        <w:ind w:firstLine="873"/>
        <w:jc w:val="both"/>
        <w:rPr>
          <w:sz w:val="28"/>
          <w:szCs w:val="28"/>
        </w:rPr>
      </w:pPr>
      <w:r>
        <w:rPr>
          <w:sz w:val="28"/>
          <w:szCs w:val="28"/>
        </w:rPr>
        <w:t>+ 01 Chuyên viên Vụ Khoa giáo/Văn phòng Chính phủ.</w:t>
      </w:r>
    </w:p>
    <w:p w:rsidR="00470BF8" w:rsidRDefault="00470BF8" w:rsidP="00470BF8">
      <w:pPr>
        <w:pStyle w:val="NormalWeb"/>
        <w:spacing w:before="140" w:beforeAutospacing="0" w:after="140" w:afterAutospacing="0" w:line="274" w:lineRule="auto"/>
        <w:ind w:firstLine="873"/>
        <w:jc w:val="both"/>
        <w:rPr>
          <w:sz w:val="28"/>
          <w:szCs w:val="28"/>
        </w:rPr>
      </w:pPr>
      <w:r>
        <w:rPr>
          <w:sz w:val="28"/>
          <w:szCs w:val="28"/>
        </w:rPr>
        <w:t>+ 01 Chuyên viên Cục Người có công/Bộ LĐTBXH.</w:t>
      </w:r>
    </w:p>
    <w:p w:rsidR="00470BF8" w:rsidRDefault="00470BF8" w:rsidP="00470BF8">
      <w:pPr>
        <w:pStyle w:val="NormalWeb"/>
        <w:spacing w:before="140" w:beforeAutospacing="0" w:after="140" w:afterAutospacing="0" w:line="274" w:lineRule="auto"/>
        <w:ind w:firstLine="873"/>
        <w:jc w:val="both"/>
        <w:rPr>
          <w:sz w:val="28"/>
          <w:szCs w:val="28"/>
        </w:rPr>
      </w:pPr>
      <w:r>
        <w:rPr>
          <w:sz w:val="28"/>
          <w:szCs w:val="28"/>
        </w:rPr>
        <w:t>+ 01 Chuyên viên Vụ I/Bộ Tài chính.</w:t>
      </w:r>
    </w:p>
    <w:p w:rsidR="00470BF8" w:rsidRPr="00EE602A" w:rsidRDefault="00470BF8" w:rsidP="00470BF8">
      <w:pPr>
        <w:pStyle w:val="NormalWeb"/>
        <w:spacing w:before="140" w:beforeAutospacing="0" w:after="140" w:afterAutospacing="0" w:line="274" w:lineRule="auto"/>
        <w:ind w:firstLine="873"/>
        <w:jc w:val="both"/>
        <w:rPr>
          <w:b/>
          <w:sz w:val="28"/>
          <w:szCs w:val="28"/>
        </w:rPr>
      </w:pPr>
      <w:r w:rsidRPr="002241D2">
        <w:rPr>
          <w:b/>
          <w:bCs/>
          <w:sz w:val="28"/>
          <w:szCs w:val="28"/>
        </w:rPr>
        <w:t>Điều 2.</w:t>
      </w:r>
      <w:r w:rsidRPr="002241D2">
        <w:rPr>
          <w:b/>
          <w:sz w:val="28"/>
          <w:szCs w:val="28"/>
        </w:rPr>
        <w:t xml:space="preserve"> </w:t>
      </w:r>
      <w:r>
        <w:rPr>
          <w:sz w:val="28"/>
          <w:szCs w:val="28"/>
        </w:rPr>
        <w:t>Vị trí c</w:t>
      </w:r>
      <w:r w:rsidRPr="00EE602A">
        <w:rPr>
          <w:sz w:val="28"/>
          <w:szCs w:val="28"/>
        </w:rPr>
        <w:t>hức năng,</w:t>
      </w:r>
      <w:r>
        <w:rPr>
          <w:sz w:val="28"/>
          <w:szCs w:val="28"/>
        </w:rPr>
        <w:t xml:space="preserve"> </w:t>
      </w:r>
      <w:r w:rsidRPr="00EE602A">
        <w:rPr>
          <w:sz w:val="28"/>
          <w:szCs w:val="28"/>
        </w:rPr>
        <w:t>nhiệm vụ</w:t>
      </w:r>
      <w:r>
        <w:rPr>
          <w:sz w:val="28"/>
          <w:szCs w:val="28"/>
        </w:rPr>
        <w:t xml:space="preserve"> và chế độ làm việc.</w:t>
      </w:r>
    </w:p>
    <w:p w:rsidR="00470BF8" w:rsidRPr="00846624" w:rsidRDefault="00470BF8" w:rsidP="00470BF8">
      <w:pPr>
        <w:pStyle w:val="NormalWeb"/>
        <w:spacing w:before="140" w:beforeAutospacing="0" w:after="140" w:afterAutospacing="0" w:line="274" w:lineRule="auto"/>
        <w:ind w:firstLine="873"/>
        <w:jc w:val="both"/>
        <w:rPr>
          <w:b/>
          <w:sz w:val="28"/>
          <w:szCs w:val="28"/>
        </w:rPr>
      </w:pPr>
      <w:r w:rsidRPr="00846624">
        <w:rPr>
          <w:b/>
          <w:sz w:val="28"/>
          <w:szCs w:val="28"/>
        </w:rPr>
        <w:t>1. Vị trí chức năng:</w:t>
      </w:r>
    </w:p>
    <w:p w:rsidR="00470BF8" w:rsidRPr="002151B2" w:rsidRDefault="00470BF8" w:rsidP="00470BF8">
      <w:pPr>
        <w:pStyle w:val="NormalWeb"/>
        <w:spacing w:before="140" w:beforeAutospacing="0" w:after="140" w:afterAutospacing="0" w:line="274" w:lineRule="auto"/>
        <w:ind w:firstLine="873"/>
        <w:jc w:val="both"/>
        <w:rPr>
          <w:sz w:val="28"/>
          <w:szCs w:val="28"/>
        </w:rPr>
      </w:pPr>
      <w:r w:rsidRPr="002151B2">
        <w:rPr>
          <w:sz w:val="28"/>
          <w:szCs w:val="28"/>
        </w:rPr>
        <w:t>Văn phòng Ban Chỉ đạo quốc gia 1237</w:t>
      </w:r>
      <w:r>
        <w:rPr>
          <w:sz w:val="28"/>
          <w:szCs w:val="28"/>
        </w:rPr>
        <w:t xml:space="preserve"> đặt tại Cục Chính sách/TCCT,</w:t>
      </w:r>
      <w:r w:rsidRPr="002151B2">
        <w:rPr>
          <w:sz w:val="28"/>
          <w:szCs w:val="28"/>
        </w:rPr>
        <w:t xml:space="preserve"> chịu sự quản lý, chỉ đạo của Ban Chỉ đạo quốc gia 1237 và Bộ Quốc phòng, có trách nhiệm t</w:t>
      </w:r>
      <w:r>
        <w:rPr>
          <w:sz w:val="28"/>
          <w:szCs w:val="28"/>
        </w:rPr>
        <w:t>ham mưu, đề xuất giúp Ban Chỉ đạo</w:t>
      </w:r>
      <w:r w:rsidRPr="002151B2">
        <w:rPr>
          <w:sz w:val="28"/>
          <w:szCs w:val="28"/>
        </w:rPr>
        <w:t xml:space="preserve"> quốc gia 1237 </w:t>
      </w:r>
      <w:r>
        <w:rPr>
          <w:sz w:val="28"/>
          <w:szCs w:val="28"/>
        </w:rPr>
        <w:t xml:space="preserve">xây dựng </w:t>
      </w:r>
      <w:r w:rsidRPr="002151B2">
        <w:rPr>
          <w:sz w:val="28"/>
          <w:szCs w:val="28"/>
        </w:rPr>
        <w:t>chương trình, kế hoạch hoạt động; hướng dẫn, kiểm tra, đôn đốc</w:t>
      </w:r>
      <w:r>
        <w:rPr>
          <w:sz w:val="28"/>
          <w:szCs w:val="28"/>
        </w:rPr>
        <w:t xml:space="preserve"> </w:t>
      </w:r>
      <w:r w:rsidRPr="002151B2">
        <w:rPr>
          <w:sz w:val="28"/>
          <w:szCs w:val="28"/>
        </w:rPr>
        <w:t>thực hiện các chủ trương, chính sách, các quy định hướng dẫn về công tác tìm kiếm, quy tập hài cốt liệt sĩ; bảo đảm cho các hoạt động của Ban Chỉ</w:t>
      </w:r>
      <w:r>
        <w:rPr>
          <w:sz w:val="28"/>
          <w:szCs w:val="28"/>
        </w:rPr>
        <w:t xml:space="preserve"> đạo 1237</w:t>
      </w:r>
      <w:r w:rsidRPr="002151B2">
        <w:rPr>
          <w:sz w:val="28"/>
          <w:szCs w:val="28"/>
        </w:rPr>
        <w:t>.</w:t>
      </w:r>
    </w:p>
    <w:p w:rsidR="00470BF8" w:rsidRPr="00846624" w:rsidRDefault="00470BF8" w:rsidP="00470BF8">
      <w:pPr>
        <w:pStyle w:val="NormalWeb"/>
        <w:spacing w:before="140" w:beforeAutospacing="0" w:after="140" w:afterAutospacing="0" w:line="274" w:lineRule="auto"/>
        <w:ind w:firstLine="873"/>
        <w:jc w:val="both"/>
        <w:rPr>
          <w:b/>
          <w:sz w:val="28"/>
          <w:szCs w:val="28"/>
        </w:rPr>
      </w:pPr>
      <w:r w:rsidRPr="00846624">
        <w:rPr>
          <w:b/>
          <w:sz w:val="28"/>
          <w:szCs w:val="28"/>
        </w:rPr>
        <w:t>2. Nhiệm vụ:</w:t>
      </w:r>
    </w:p>
    <w:p w:rsidR="00470BF8" w:rsidRPr="00911761" w:rsidRDefault="00470BF8" w:rsidP="00470BF8">
      <w:pPr>
        <w:pStyle w:val="NormalWeb"/>
        <w:spacing w:before="140" w:beforeAutospacing="0" w:after="140" w:afterAutospacing="0" w:line="274" w:lineRule="auto"/>
        <w:ind w:firstLine="873"/>
        <w:jc w:val="both"/>
        <w:rPr>
          <w:sz w:val="28"/>
          <w:szCs w:val="28"/>
        </w:rPr>
      </w:pPr>
      <w:r w:rsidRPr="00911761">
        <w:rPr>
          <w:sz w:val="28"/>
          <w:szCs w:val="28"/>
        </w:rPr>
        <w:t>a) Theo dõi, chỉ đạo, hướng dẫn công tác tìm kiếm, quy tập hài cốt liệt sĩ</w:t>
      </w:r>
      <w:r w:rsidRPr="00911761">
        <w:t xml:space="preserve"> </w:t>
      </w:r>
      <w:r>
        <w:rPr>
          <w:sz w:val="28"/>
          <w:szCs w:val="28"/>
        </w:rPr>
        <w:t xml:space="preserve">ở trong và ngoài nước; chủ trì, phối hợp các cơ quan có liên quan </w:t>
      </w:r>
      <w:r w:rsidRPr="00911761">
        <w:rPr>
          <w:sz w:val="28"/>
          <w:szCs w:val="28"/>
        </w:rPr>
        <w:t>đề xuất chương trình, nội dung, kế hoạch ho</w:t>
      </w:r>
      <w:r>
        <w:rPr>
          <w:sz w:val="28"/>
          <w:szCs w:val="28"/>
        </w:rPr>
        <w:t>ạt động của Ban Chỉ đạo;</w:t>
      </w:r>
    </w:p>
    <w:p w:rsidR="00470BF8" w:rsidRPr="000E72EF" w:rsidRDefault="00470BF8" w:rsidP="00470BF8">
      <w:pPr>
        <w:pStyle w:val="NormalWeb"/>
        <w:spacing w:before="140" w:beforeAutospacing="0" w:after="140" w:afterAutospacing="0" w:line="274" w:lineRule="auto"/>
        <w:ind w:firstLine="873"/>
        <w:jc w:val="both"/>
        <w:rPr>
          <w:spacing w:val="-4"/>
          <w:sz w:val="28"/>
          <w:szCs w:val="28"/>
        </w:rPr>
      </w:pPr>
      <w:r>
        <w:rPr>
          <w:spacing w:val="-4"/>
          <w:sz w:val="28"/>
          <w:szCs w:val="28"/>
        </w:rPr>
        <w:lastRenderedPageBreak/>
        <w:t>b) Phối hợp với các cơ quan của Bộ Lao động - Thương binh và Xã hội và Bộ Quốc phòng n</w:t>
      </w:r>
      <w:r w:rsidRPr="000E72EF">
        <w:rPr>
          <w:spacing w:val="-4"/>
          <w:sz w:val="28"/>
          <w:szCs w:val="28"/>
        </w:rPr>
        <w:t xml:space="preserve">ghiên cứu, tham mưu đề xuất </w:t>
      </w:r>
      <w:r>
        <w:rPr>
          <w:spacing w:val="-4"/>
          <w:sz w:val="28"/>
          <w:szCs w:val="28"/>
        </w:rPr>
        <w:t xml:space="preserve">để </w:t>
      </w:r>
      <w:r w:rsidRPr="000E72EF">
        <w:rPr>
          <w:spacing w:val="-4"/>
          <w:sz w:val="28"/>
          <w:szCs w:val="28"/>
        </w:rPr>
        <w:t xml:space="preserve">Bộ Quốc phòng, Ban Chỉ đạo quốc gia 1237 kiến nghị với Chính phủ, Thủ tướng Chính phủ </w:t>
      </w:r>
      <w:r>
        <w:rPr>
          <w:spacing w:val="-4"/>
          <w:sz w:val="28"/>
          <w:szCs w:val="28"/>
        </w:rPr>
        <w:t xml:space="preserve">ban hành các văn bản quy phạm </w:t>
      </w:r>
      <w:r w:rsidRPr="000E72EF">
        <w:rPr>
          <w:spacing w:val="-4"/>
          <w:sz w:val="28"/>
          <w:szCs w:val="28"/>
        </w:rPr>
        <w:t xml:space="preserve">pháp luật </w:t>
      </w:r>
      <w:r>
        <w:rPr>
          <w:spacing w:val="-4"/>
          <w:sz w:val="28"/>
          <w:szCs w:val="28"/>
        </w:rPr>
        <w:t xml:space="preserve">và các văn bản hành chính khác </w:t>
      </w:r>
      <w:r w:rsidRPr="000E72EF">
        <w:rPr>
          <w:spacing w:val="-4"/>
          <w:sz w:val="28"/>
          <w:szCs w:val="28"/>
        </w:rPr>
        <w:t>về công tác tìm kiếm, quy tập hài cốt liệt sĩ, điều chỉnh, bổ sung chế độ, chính sách, trang bị, phương tiện bảo đảm đối với các lực lượng làm nhiệm vụ tìm kiếm, quy tập;</w:t>
      </w:r>
    </w:p>
    <w:p w:rsidR="00470BF8" w:rsidRPr="00F24FCA" w:rsidRDefault="00470BF8" w:rsidP="00470BF8">
      <w:pPr>
        <w:spacing w:before="140" w:after="140" w:line="274" w:lineRule="auto"/>
        <w:ind w:firstLine="902"/>
        <w:jc w:val="both"/>
        <w:rPr>
          <w:sz w:val="28"/>
          <w:szCs w:val="28"/>
        </w:rPr>
      </w:pPr>
      <w:r w:rsidRPr="00F24FCA">
        <w:rPr>
          <w:sz w:val="28"/>
          <w:szCs w:val="28"/>
        </w:rPr>
        <w:t>c) Giúp Ban Chỉ đạo quốc gia chỉ đạo, hướng dẫn các đơn vị, địa phương xây dựng kế hoạch; kiểm tra, đôn đốc thực hiện công tác tìm kiếm, quy tập hài cốt liệt sĩ; tổng hợp tình hình, báo cáo kết quả theo quy định;</w:t>
      </w:r>
    </w:p>
    <w:p w:rsidR="00470BF8" w:rsidRPr="00F24FCA" w:rsidRDefault="00470BF8" w:rsidP="00470BF8">
      <w:pPr>
        <w:spacing w:before="80" w:after="80" w:line="264" w:lineRule="auto"/>
        <w:ind w:firstLine="902"/>
        <w:jc w:val="both"/>
        <w:rPr>
          <w:color w:val="0000FF"/>
          <w:sz w:val="28"/>
          <w:szCs w:val="28"/>
        </w:rPr>
      </w:pPr>
      <w:r w:rsidRPr="00F24FCA">
        <w:rPr>
          <w:sz w:val="28"/>
          <w:szCs w:val="28"/>
        </w:rPr>
        <w:t xml:space="preserve">d) Chuẩn bị kế hoạch, nội dung sơ kết, tổng kết rút kinh nghiệm công tác tìm kiếm, quy tập hài cốt liệt sĩ; đề xuất xử lý vướng mắc thuộc nhiệm vụ </w:t>
      </w:r>
      <w:proofErr w:type="gramStart"/>
      <w:r w:rsidRPr="00F24FCA">
        <w:rPr>
          <w:sz w:val="28"/>
          <w:szCs w:val="28"/>
        </w:rPr>
        <w:t>chung</w:t>
      </w:r>
      <w:proofErr w:type="gramEnd"/>
      <w:r w:rsidRPr="00F24FCA">
        <w:rPr>
          <w:sz w:val="28"/>
          <w:szCs w:val="28"/>
        </w:rPr>
        <w:t xml:space="preserve"> của Ban Chỉ đạo quốc gia;</w:t>
      </w:r>
    </w:p>
    <w:p w:rsidR="00470BF8" w:rsidRPr="00664724" w:rsidRDefault="00470BF8" w:rsidP="00470BF8">
      <w:pPr>
        <w:pStyle w:val="NormalWeb"/>
        <w:spacing w:before="80" w:beforeAutospacing="0" w:after="80" w:afterAutospacing="0" w:line="264" w:lineRule="auto"/>
        <w:ind w:firstLine="873"/>
        <w:jc w:val="both"/>
        <w:rPr>
          <w:spacing w:val="4"/>
          <w:sz w:val="28"/>
          <w:szCs w:val="28"/>
        </w:rPr>
      </w:pPr>
      <w:r w:rsidRPr="00664724">
        <w:rPr>
          <w:spacing w:val="4"/>
          <w:sz w:val="28"/>
          <w:szCs w:val="28"/>
        </w:rPr>
        <w:t>đ) Lập dự toán, đề xuất phân bổ kinh phí cho nhiệm vụ tìm kiếm, quy tập hài cốt liệt sĩ và bảo đảm mọi mặt cho hoạt động của Ban Chỉ đạo quốc gia 1237.</w:t>
      </w:r>
    </w:p>
    <w:p w:rsidR="00470BF8" w:rsidRPr="00846624" w:rsidRDefault="00470BF8" w:rsidP="00470BF8">
      <w:pPr>
        <w:pStyle w:val="NormalWeb"/>
        <w:spacing w:before="80" w:beforeAutospacing="0" w:after="80" w:afterAutospacing="0" w:line="264" w:lineRule="auto"/>
        <w:ind w:firstLine="873"/>
        <w:jc w:val="both"/>
        <w:rPr>
          <w:b/>
          <w:sz w:val="28"/>
          <w:szCs w:val="28"/>
        </w:rPr>
      </w:pPr>
      <w:r w:rsidRPr="00846624">
        <w:rPr>
          <w:b/>
          <w:bCs/>
          <w:sz w:val="28"/>
          <w:szCs w:val="28"/>
        </w:rPr>
        <w:t>3.</w:t>
      </w:r>
      <w:r>
        <w:rPr>
          <w:b/>
          <w:sz w:val="28"/>
          <w:szCs w:val="28"/>
        </w:rPr>
        <w:t xml:space="preserve"> Chế độ làm việc:</w:t>
      </w:r>
    </w:p>
    <w:p w:rsidR="00470BF8" w:rsidRDefault="00470BF8" w:rsidP="00470BF8">
      <w:pPr>
        <w:pStyle w:val="NormalWeb"/>
        <w:spacing w:before="80" w:beforeAutospacing="0" w:after="80" w:afterAutospacing="0" w:line="264" w:lineRule="auto"/>
        <w:ind w:firstLine="871"/>
        <w:jc w:val="both"/>
        <w:rPr>
          <w:sz w:val="28"/>
          <w:szCs w:val="28"/>
        </w:rPr>
      </w:pPr>
      <w:r>
        <w:rPr>
          <w:sz w:val="28"/>
          <w:szCs w:val="28"/>
        </w:rPr>
        <w:t xml:space="preserve">a) </w:t>
      </w:r>
      <w:r w:rsidRPr="002151B2">
        <w:rPr>
          <w:sz w:val="28"/>
          <w:szCs w:val="28"/>
        </w:rPr>
        <w:t>Văn phòng Ban Chỉ đạo quốc gia 1237 hoạt động theo chế độ chuyên trách và kiêm nhiệm, đặt dưới sự chỉ đạo</w:t>
      </w:r>
      <w:r>
        <w:rPr>
          <w:sz w:val="28"/>
          <w:szCs w:val="28"/>
        </w:rPr>
        <w:t>, điều hành</w:t>
      </w:r>
      <w:r w:rsidRPr="002151B2">
        <w:rPr>
          <w:sz w:val="28"/>
          <w:szCs w:val="28"/>
        </w:rPr>
        <w:t xml:space="preserve"> của Ban Chỉ đạo quốc gia 1237 và Bộ Quốc phòng.</w:t>
      </w:r>
    </w:p>
    <w:p w:rsidR="00470BF8" w:rsidRDefault="00470BF8" w:rsidP="00470BF8">
      <w:pPr>
        <w:pStyle w:val="NormalWeb"/>
        <w:spacing w:before="80" w:beforeAutospacing="0" w:after="80" w:afterAutospacing="0" w:line="264" w:lineRule="auto"/>
        <w:ind w:firstLine="871"/>
        <w:jc w:val="both"/>
        <w:rPr>
          <w:sz w:val="28"/>
          <w:szCs w:val="28"/>
        </w:rPr>
      </w:pPr>
      <w:r>
        <w:rPr>
          <w:sz w:val="28"/>
          <w:szCs w:val="28"/>
        </w:rPr>
        <w:t>b)</w:t>
      </w:r>
      <w:r w:rsidRPr="000020C9">
        <w:rPr>
          <w:sz w:val="28"/>
          <w:szCs w:val="28"/>
        </w:rPr>
        <w:t xml:space="preserve"> Văn phòng Ban Chỉ đạo Quốc gia 1237 được dùng con dấu của Cục Chính sách/Tổng cục Chính trị.</w:t>
      </w:r>
    </w:p>
    <w:p w:rsidR="00470BF8" w:rsidRDefault="00470BF8" w:rsidP="00470BF8">
      <w:pPr>
        <w:pStyle w:val="NormalWeb"/>
        <w:spacing w:before="80" w:beforeAutospacing="0" w:after="80" w:afterAutospacing="0" w:line="264" w:lineRule="auto"/>
        <w:ind w:firstLine="871"/>
        <w:jc w:val="both"/>
        <w:rPr>
          <w:sz w:val="28"/>
          <w:szCs w:val="28"/>
        </w:rPr>
      </w:pPr>
      <w:r>
        <w:rPr>
          <w:sz w:val="28"/>
          <w:szCs w:val="28"/>
        </w:rPr>
        <w:t xml:space="preserve">c) Bảo đảm cho hoạt động của Văn phòng Ban Chỉ đạo thực hiện </w:t>
      </w:r>
      <w:proofErr w:type="gramStart"/>
      <w:r>
        <w:rPr>
          <w:sz w:val="28"/>
          <w:szCs w:val="28"/>
        </w:rPr>
        <w:t>theo</w:t>
      </w:r>
      <w:proofErr w:type="gramEnd"/>
      <w:r>
        <w:rPr>
          <w:sz w:val="28"/>
          <w:szCs w:val="28"/>
        </w:rPr>
        <w:t xml:space="preserve"> quy định của Thủ tướng Chính phủ và Bộ Quốc phòng.</w:t>
      </w:r>
    </w:p>
    <w:p w:rsidR="00470BF8" w:rsidRDefault="00470BF8" w:rsidP="00470BF8">
      <w:pPr>
        <w:pStyle w:val="NormalWeb"/>
        <w:spacing w:before="80" w:beforeAutospacing="0" w:after="80" w:afterAutospacing="0" w:line="264" w:lineRule="auto"/>
        <w:ind w:firstLine="873"/>
        <w:jc w:val="both"/>
        <w:rPr>
          <w:sz w:val="28"/>
          <w:szCs w:val="28"/>
        </w:rPr>
      </w:pPr>
      <w:r w:rsidRPr="002E6FB2">
        <w:rPr>
          <w:b/>
          <w:bCs/>
          <w:sz w:val="28"/>
          <w:szCs w:val="28"/>
        </w:rPr>
        <w:t xml:space="preserve">Điều </w:t>
      </w:r>
      <w:r>
        <w:rPr>
          <w:b/>
          <w:bCs/>
          <w:sz w:val="28"/>
          <w:szCs w:val="28"/>
        </w:rPr>
        <w:t>3</w:t>
      </w:r>
      <w:r w:rsidRPr="002E6FB2">
        <w:rPr>
          <w:b/>
          <w:bCs/>
          <w:sz w:val="28"/>
          <w:szCs w:val="28"/>
        </w:rPr>
        <w:t>.</w:t>
      </w:r>
      <w:r w:rsidRPr="002E6FB2">
        <w:rPr>
          <w:sz w:val="28"/>
          <w:szCs w:val="28"/>
        </w:rPr>
        <w:t xml:space="preserve"> </w:t>
      </w:r>
      <w:r>
        <w:rPr>
          <w:sz w:val="28"/>
          <w:szCs w:val="28"/>
        </w:rPr>
        <w:t>Quyết định này có hiệu lực thi hành kể từ ngày ký.</w:t>
      </w:r>
    </w:p>
    <w:p w:rsidR="00470BF8" w:rsidRDefault="00470BF8" w:rsidP="00470BF8">
      <w:pPr>
        <w:pStyle w:val="NormalWeb"/>
        <w:spacing w:before="80" w:beforeAutospacing="0" w:after="80" w:afterAutospacing="0" w:line="264" w:lineRule="auto"/>
        <w:ind w:firstLine="873"/>
        <w:jc w:val="both"/>
        <w:rPr>
          <w:sz w:val="28"/>
          <w:szCs w:val="28"/>
        </w:rPr>
      </w:pPr>
      <w:r>
        <w:rPr>
          <w:sz w:val="28"/>
          <w:szCs w:val="28"/>
        </w:rPr>
        <w:t>Chủ nhiệm Tổng cục Chính trị, Chánh Văn phòng Ban Chỉ đạo quốc gia, Thủ trưởng các cơ quan, đơn vị, cá nhân có tên tại Điều 1 và Thủ trưởng các cơ quan có liên quan chịu trách nhiệm thi hành Quyết định này./.</w:t>
      </w:r>
    </w:p>
    <w:p w:rsidR="00470BF8" w:rsidRPr="0056284E" w:rsidRDefault="00470BF8" w:rsidP="00470BF8">
      <w:pPr>
        <w:pStyle w:val="NormalWeb"/>
        <w:spacing w:before="80" w:beforeAutospacing="0" w:after="80" w:afterAutospacing="0"/>
        <w:ind w:firstLine="567"/>
        <w:jc w:val="both"/>
        <w:rPr>
          <w:sz w:val="22"/>
          <w:szCs w:val="28"/>
        </w:rPr>
      </w:pPr>
    </w:p>
    <w:tbl>
      <w:tblPr>
        <w:tblW w:w="9179" w:type="dxa"/>
        <w:tblInd w:w="108" w:type="dxa"/>
        <w:tblCellMar>
          <w:left w:w="0" w:type="dxa"/>
          <w:right w:w="0" w:type="dxa"/>
        </w:tblCellMar>
        <w:tblLook w:val="0000" w:firstRow="0" w:lastRow="0" w:firstColumn="0" w:lastColumn="0" w:noHBand="0" w:noVBand="0"/>
      </w:tblPr>
      <w:tblGrid>
        <w:gridCol w:w="4623"/>
        <w:gridCol w:w="4556"/>
      </w:tblGrid>
      <w:tr w:rsidR="00470BF8" w:rsidRPr="00875CE2" w:rsidTr="00E41918">
        <w:tc>
          <w:tcPr>
            <w:tcW w:w="4623" w:type="dxa"/>
            <w:tcMar>
              <w:top w:w="0" w:type="dxa"/>
              <w:left w:w="108" w:type="dxa"/>
              <w:bottom w:w="0" w:type="dxa"/>
              <w:right w:w="108" w:type="dxa"/>
            </w:tcMar>
          </w:tcPr>
          <w:p w:rsidR="00470BF8" w:rsidRPr="00875CE2" w:rsidRDefault="00470BF8" w:rsidP="00E41918">
            <w:pPr>
              <w:spacing w:after="0" w:line="240" w:lineRule="auto"/>
              <w:ind w:left="-108"/>
            </w:pPr>
          </w:p>
        </w:tc>
        <w:tc>
          <w:tcPr>
            <w:tcW w:w="4556" w:type="dxa"/>
            <w:tcMar>
              <w:top w:w="0" w:type="dxa"/>
              <w:left w:w="108" w:type="dxa"/>
              <w:bottom w:w="0" w:type="dxa"/>
              <w:right w:w="108" w:type="dxa"/>
            </w:tcMar>
          </w:tcPr>
          <w:p w:rsidR="00470BF8" w:rsidRPr="00124A91" w:rsidRDefault="00470BF8" w:rsidP="00E41918">
            <w:pPr>
              <w:pStyle w:val="NormalWeb"/>
              <w:spacing w:before="0" w:beforeAutospacing="0" w:after="0" w:afterAutospacing="0"/>
              <w:jc w:val="center"/>
              <w:rPr>
                <w:b/>
                <w:bCs/>
                <w:sz w:val="26"/>
                <w:szCs w:val="28"/>
              </w:rPr>
            </w:pPr>
            <w:r w:rsidRPr="00124A91">
              <w:rPr>
                <w:b/>
                <w:bCs/>
                <w:sz w:val="26"/>
                <w:szCs w:val="28"/>
              </w:rPr>
              <w:t>KT. BỘ TRƯỞNG</w:t>
            </w:r>
            <w:r w:rsidRPr="00124A91">
              <w:rPr>
                <w:b/>
                <w:bCs/>
                <w:sz w:val="26"/>
                <w:szCs w:val="28"/>
              </w:rPr>
              <w:br/>
              <w:t>THỨ TRƯỞNG</w:t>
            </w:r>
          </w:p>
          <w:p w:rsidR="00470BF8" w:rsidRDefault="00470BF8" w:rsidP="00E41918">
            <w:pPr>
              <w:pStyle w:val="NormalWeb"/>
              <w:spacing w:before="0" w:beforeAutospacing="0" w:after="0" w:afterAutospacing="0"/>
              <w:rPr>
                <w:b/>
                <w:bCs/>
                <w:sz w:val="28"/>
                <w:szCs w:val="28"/>
              </w:rPr>
            </w:pPr>
          </w:p>
          <w:p w:rsidR="00470BF8" w:rsidRPr="00E73EA8" w:rsidRDefault="00470BF8" w:rsidP="00E41918">
            <w:pPr>
              <w:pStyle w:val="NormalWeb"/>
              <w:spacing w:before="0" w:beforeAutospacing="0" w:after="0" w:afterAutospacing="0"/>
              <w:jc w:val="center"/>
              <w:rPr>
                <w:b/>
                <w:bCs/>
                <w:sz w:val="28"/>
                <w:szCs w:val="28"/>
              </w:rPr>
            </w:pPr>
          </w:p>
          <w:p w:rsidR="00470BF8" w:rsidRPr="00124A91" w:rsidRDefault="00470BF8" w:rsidP="00E41918">
            <w:pPr>
              <w:autoSpaceDE w:val="0"/>
              <w:autoSpaceDN w:val="0"/>
              <w:adjustRightInd w:val="0"/>
              <w:spacing w:after="0" w:line="240" w:lineRule="auto"/>
              <w:jc w:val="center"/>
              <w:rPr>
                <w:bCs/>
                <w:i/>
                <w:sz w:val="26"/>
                <w:szCs w:val="28"/>
                <w:lang w:val="en"/>
              </w:rPr>
            </w:pPr>
            <w:r w:rsidRPr="00124A91">
              <w:rPr>
                <w:bCs/>
                <w:i/>
                <w:sz w:val="26"/>
                <w:szCs w:val="28"/>
                <w:lang w:val="en"/>
              </w:rPr>
              <w:lastRenderedPageBreak/>
              <w:t>(Đã ký)</w:t>
            </w:r>
          </w:p>
          <w:p w:rsidR="00470BF8" w:rsidRDefault="00470BF8" w:rsidP="00E41918">
            <w:pPr>
              <w:pStyle w:val="NormalWeb"/>
              <w:spacing w:before="0" w:beforeAutospacing="0" w:after="0" w:afterAutospacing="0"/>
              <w:jc w:val="center"/>
              <w:rPr>
                <w:b/>
                <w:bCs/>
                <w:sz w:val="26"/>
                <w:szCs w:val="26"/>
              </w:rPr>
            </w:pPr>
          </w:p>
          <w:p w:rsidR="00470BF8" w:rsidRPr="00E73EA8" w:rsidRDefault="00470BF8" w:rsidP="00E41918">
            <w:pPr>
              <w:pStyle w:val="NormalWeb"/>
              <w:spacing w:before="0" w:beforeAutospacing="0" w:after="0" w:afterAutospacing="0"/>
              <w:rPr>
                <w:b/>
                <w:sz w:val="26"/>
                <w:szCs w:val="26"/>
              </w:rPr>
            </w:pPr>
          </w:p>
          <w:p w:rsidR="00470BF8" w:rsidRPr="005A642E" w:rsidRDefault="00470BF8" w:rsidP="00E41918">
            <w:pPr>
              <w:pStyle w:val="NormalWeb"/>
              <w:spacing w:before="0" w:beforeAutospacing="0" w:after="0" w:afterAutospacing="0"/>
              <w:jc w:val="center"/>
              <w:rPr>
                <w:b/>
                <w:sz w:val="28"/>
                <w:szCs w:val="28"/>
              </w:rPr>
            </w:pPr>
            <w:r>
              <w:rPr>
                <w:b/>
                <w:sz w:val="28"/>
                <w:szCs w:val="28"/>
              </w:rPr>
              <w:t>Thượng tướng Nguyễn Thành Cung</w:t>
            </w:r>
          </w:p>
        </w:tc>
      </w:tr>
    </w:tbl>
    <w:p w:rsidR="000A37EE" w:rsidRDefault="000A37EE">
      <w:bookmarkStart w:id="0" w:name="_GoBack"/>
      <w:bookmarkEnd w:id="0"/>
    </w:p>
    <w:sectPr w:rsidR="000A37EE" w:rsidSect="00470BF8">
      <w:pgSz w:w="12240" w:h="15840"/>
      <w:pgMar w:top="1701" w:right="1134" w:bottom="22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F8"/>
    <w:rsid w:val="000A37EE"/>
    <w:rsid w:val="002B234C"/>
    <w:rsid w:val="00470BF8"/>
    <w:rsid w:val="00C74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6D1DDC-4BE5-48FA-BA58-4453ADE1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BF8"/>
    <w:pPr>
      <w:spacing w:after="200" w:line="276" w:lineRule="auto"/>
    </w:pPr>
    <w:rPr>
      <w:rFonts w:eastAsia="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70BF8"/>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TRANGPAGE</dc:creator>
  <cp:keywords/>
  <dc:description/>
  <cp:lastModifiedBy>TRANGPAGE</cp:lastModifiedBy>
  <cp:revision>1</cp:revision>
  <cp:lastPrinted>2015-01-22T10:27:00Z</cp:lastPrinted>
  <dcterms:created xsi:type="dcterms:W3CDTF">2015-01-22T10:26:00Z</dcterms:created>
  <dcterms:modified xsi:type="dcterms:W3CDTF">2015-01-22T10:27:00Z</dcterms:modified>
</cp:coreProperties>
</file>